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07D" w:rsidRDefault="00F0107D" w:rsidP="00E1286E">
      <w:pPr>
        <w:pStyle w:val="StyleJustified"/>
        <w:numPr>
          <w:ilvl w:val="0"/>
          <w:numId w:val="4"/>
        </w:numPr>
        <w:tabs>
          <w:tab w:val="clear" w:pos="596"/>
        </w:tabs>
        <w:ind w:left="539" w:hanging="539"/>
        <w:rPr>
          <w:rFonts w:ascii="Arial" w:hAnsi="Arial" w:cs="Arial"/>
          <w:sz w:val="22"/>
          <w:szCs w:val="22"/>
        </w:rPr>
      </w:pPr>
      <w:bookmarkStart w:id="0" w:name="_GoBack"/>
      <w:bookmarkEnd w:id="0"/>
      <w:r w:rsidRPr="00F0107D">
        <w:rPr>
          <w:rFonts w:ascii="Arial" w:hAnsi="Arial" w:cs="Arial"/>
          <w:sz w:val="22"/>
          <w:szCs w:val="22"/>
        </w:rPr>
        <w:t xml:space="preserve">The Framework </w:t>
      </w:r>
      <w:r w:rsidR="00290588">
        <w:rPr>
          <w:rFonts w:ascii="Arial" w:hAnsi="Arial" w:cs="Arial"/>
          <w:sz w:val="22"/>
          <w:szCs w:val="22"/>
        </w:rPr>
        <w:t xml:space="preserve">for Alcohol and Drug Management in the Workplace </w:t>
      </w:r>
      <w:r w:rsidRPr="00F0107D">
        <w:rPr>
          <w:rFonts w:ascii="Arial" w:hAnsi="Arial" w:cs="Arial"/>
          <w:sz w:val="22"/>
          <w:szCs w:val="22"/>
        </w:rPr>
        <w:t xml:space="preserve">recommends that employers develop a drug and alcohol policy in consultation with workers following the conduct of a risk assessment which identifies the need for a drug and alcohol policy in that workplace.  </w:t>
      </w:r>
    </w:p>
    <w:p w:rsidR="00F0107D" w:rsidRDefault="00F0107D" w:rsidP="00FA5E5D">
      <w:pPr>
        <w:pStyle w:val="StyleJustified"/>
        <w:numPr>
          <w:ilvl w:val="0"/>
          <w:numId w:val="4"/>
        </w:numPr>
        <w:tabs>
          <w:tab w:val="clear" w:pos="596"/>
        </w:tabs>
        <w:ind w:left="539" w:hanging="539"/>
        <w:rPr>
          <w:rFonts w:ascii="Arial" w:hAnsi="Arial" w:cs="Arial"/>
          <w:sz w:val="22"/>
          <w:szCs w:val="22"/>
        </w:rPr>
      </w:pPr>
      <w:r w:rsidRPr="00F0107D">
        <w:rPr>
          <w:rFonts w:ascii="Arial" w:hAnsi="Arial" w:cs="Arial"/>
          <w:sz w:val="22"/>
          <w:szCs w:val="22"/>
        </w:rPr>
        <w:t>The Framework is applicable to all workplaces. However, it is expected that only high risk workplaces will identify a need for a drug and alcohol policy and a number of these workplaces will already have one in place.</w:t>
      </w:r>
    </w:p>
    <w:p w:rsidR="000361C1" w:rsidRDefault="00F0107D" w:rsidP="00FA5E5D">
      <w:pPr>
        <w:pStyle w:val="StyleJustified"/>
        <w:numPr>
          <w:ilvl w:val="0"/>
          <w:numId w:val="4"/>
        </w:numPr>
        <w:tabs>
          <w:tab w:val="clear" w:pos="596"/>
        </w:tabs>
        <w:ind w:left="539" w:hanging="539"/>
        <w:rPr>
          <w:rFonts w:ascii="Arial" w:hAnsi="Arial" w:cs="Arial"/>
          <w:sz w:val="22"/>
          <w:szCs w:val="22"/>
        </w:rPr>
      </w:pPr>
      <w:r w:rsidRPr="00F0107D">
        <w:rPr>
          <w:rFonts w:ascii="Arial" w:hAnsi="Arial" w:cs="Arial"/>
          <w:sz w:val="22"/>
          <w:szCs w:val="22"/>
        </w:rPr>
        <w:t xml:space="preserve">The Framework will provide guidance to those in industries for which there are legislative provisions requiring the development of drug and alcohol management programs, such as those relating to rail safety workers, passenger transport and heavy vehicle drivers and those for which there is legislation, such as mining and aviation, prohibiting employees from working while affected by alcohol or drugs. </w:t>
      </w:r>
    </w:p>
    <w:p w:rsidR="00F0107D" w:rsidRDefault="00F0107D" w:rsidP="00FA5E5D">
      <w:pPr>
        <w:pStyle w:val="StyleJustified"/>
        <w:numPr>
          <w:ilvl w:val="0"/>
          <w:numId w:val="4"/>
        </w:numPr>
        <w:tabs>
          <w:tab w:val="clear" w:pos="596"/>
        </w:tabs>
        <w:ind w:left="539" w:hanging="539"/>
        <w:rPr>
          <w:rFonts w:ascii="Arial" w:hAnsi="Arial" w:cs="Arial"/>
          <w:sz w:val="22"/>
          <w:szCs w:val="22"/>
        </w:rPr>
      </w:pPr>
      <w:r w:rsidRPr="00F0107D">
        <w:rPr>
          <w:rFonts w:ascii="Arial" w:hAnsi="Arial" w:cs="Arial"/>
          <w:sz w:val="22"/>
          <w:szCs w:val="22"/>
        </w:rPr>
        <w:t>The Framework will also provide guidance to other industries such as construction and manufacturing which do not have a mandatory drug and alcohol testing regime.</w:t>
      </w:r>
    </w:p>
    <w:p w:rsidR="00397811" w:rsidRPr="008C4542" w:rsidRDefault="000361C1" w:rsidP="008C4542">
      <w:pPr>
        <w:pStyle w:val="StyleJustified"/>
        <w:numPr>
          <w:ilvl w:val="0"/>
          <w:numId w:val="4"/>
        </w:numPr>
        <w:tabs>
          <w:tab w:val="clear" w:pos="596"/>
        </w:tabs>
        <w:ind w:left="539" w:hanging="539"/>
        <w:rPr>
          <w:rFonts w:ascii="Arial" w:hAnsi="Arial" w:cs="Arial"/>
          <w:sz w:val="22"/>
          <w:szCs w:val="22"/>
        </w:rPr>
      </w:pPr>
      <w:r>
        <w:rPr>
          <w:rFonts w:ascii="Arial" w:hAnsi="Arial" w:cs="Arial"/>
          <w:sz w:val="22"/>
          <w:szCs w:val="22"/>
        </w:rPr>
        <w:t xml:space="preserve">Where the </w:t>
      </w:r>
      <w:r w:rsidRPr="00F0107D">
        <w:rPr>
          <w:rFonts w:ascii="Arial" w:hAnsi="Arial" w:cs="Arial"/>
          <w:sz w:val="22"/>
          <w:szCs w:val="22"/>
        </w:rPr>
        <w:t xml:space="preserve">risk assessment </w:t>
      </w:r>
      <w:r>
        <w:rPr>
          <w:rFonts w:ascii="Arial" w:hAnsi="Arial" w:cs="Arial"/>
          <w:sz w:val="22"/>
          <w:szCs w:val="22"/>
        </w:rPr>
        <w:t>indicates that testing is required, t</w:t>
      </w:r>
      <w:r w:rsidR="00F0107D" w:rsidRPr="00F0107D">
        <w:rPr>
          <w:rFonts w:ascii="Arial" w:hAnsi="Arial" w:cs="Arial"/>
          <w:sz w:val="22"/>
          <w:szCs w:val="22"/>
        </w:rPr>
        <w:t xml:space="preserve">he Framework </w:t>
      </w:r>
      <w:r w:rsidR="00F0107D">
        <w:rPr>
          <w:rFonts w:ascii="Arial" w:hAnsi="Arial" w:cs="Arial"/>
          <w:sz w:val="22"/>
          <w:szCs w:val="22"/>
        </w:rPr>
        <w:t xml:space="preserve">provides guidance on testing methods and </w:t>
      </w:r>
      <w:r w:rsidR="00F0107D" w:rsidRPr="00F0107D">
        <w:rPr>
          <w:rFonts w:ascii="Arial" w:hAnsi="Arial" w:cs="Arial"/>
          <w:sz w:val="22"/>
          <w:szCs w:val="22"/>
        </w:rPr>
        <w:t>indicates that employers should adopt a method which is discreet, quick to administer, provides timely results, is the least invasive and recommends breath testing for alcohol and oral swab testing for drug use. The rationale for testing is to determine a worker’s fitness to work at any time and not impairment over a period of time.</w:t>
      </w:r>
    </w:p>
    <w:p w:rsidR="00E04A52" w:rsidRPr="00FD3FF7" w:rsidRDefault="00E04A52" w:rsidP="00FA5E5D">
      <w:pPr>
        <w:pStyle w:val="StyleJustified"/>
        <w:numPr>
          <w:ilvl w:val="0"/>
          <w:numId w:val="4"/>
        </w:numPr>
        <w:tabs>
          <w:tab w:val="clear" w:pos="596"/>
        </w:tabs>
        <w:ind w:left="540" w:hanging="540"/>
        <w:rPr>
          <w:rFonts w:ascii="Arial" w:hAnsi="Arial" w:cs="Arial"/>
          <w:sz w:val="22"/>
          <w:szCs w:val="22"/>
        </w:rPr>
      </w:pPr>
      <w:r w:rsidRPr="00290588">
        <w:rPr>
          <w:rFonts w:ascii="Arial" w:hAnsi="Arial" w:cs="Arial"/>
          <w:sz w:val="22"/>
          <w:szCs w:val="22"/>
          <w:u w:val="single"/>
        </w:rPr>
        <w:t xml:space="preserve">Cabinet </w:t>
      </w:r>
      <w:r w:rsidR="00290588" w:rsidRPr="00290588">
        <w:rPr>
          <w:rFonts w:ascii="Arial" w:hAnsi="Arial" w:cs="Arial"/>
          <w:sz w:val="22"/>
          <w:szCs w:val="22"/>
          <w:u w:val="single"/>
        </w:rPr>
        <w:t>approved</w:t>
      </w:r>
      <w:r w:rsidR="00FD3FF7" w:rsidRPr="00FD3FF7">
        <w:rPr>
          <w:rFonts w:ascii="Arial" w:hAnsi="Arial" w:cs="Arial"/>
          <w:sz w:val="22"/>
          <w:szCs w:val="22"/>
        </w:rPr>
        <w:t xml:space="preserve"> the publication of the </w:t>
      </w:r>
      <w:r w:rsidR="00FD3FF7" w:rsidRPr="00FD3FF7">
        <w:rPr>
          <w:rFonts w:ascii="Arial" w:hAnsi="Arial" w:cs="Arial"/>
          <w:i/>
          <w:sz w:val="22"/>
          <w:szCs w:val="22"/>
        </w:rPr>
        <w:t xml:space="preserve">Framework for Alcohol and Drug Management in the Workplace </w:t>
      </w:r>
      <w:r w:rsidR="00FD3FF7" w:rsidRPr="00FD3FF7">
        <w:rPr>
          <w:rFonts w:ascii="Arial" w:hAnsi="Arial" w:cs="Arial"/>
          <w:sz w:val="22"/>
          <w:szCs w:val="22"/>
        </w:rPr>
        <w:t>as guidance material</w:t>
      </w:r>
      <w:r w:rsidRPr="00FD3FF7">
        <w:rPr>
          <w:rFonts w:ascii="Arial" w:hAnsi="Arial" w:cs="Arial"/>
          <w:sz w:val="22"/>
          <w:szCs w:val="22"/>
        </w:rPr>
        <w:t>.</w:t>
      </w:r>
    </w:p>
    <w:p w:rsidR="00290588" w:rsidRPr="002266BC" w:rsidRDefault="001F6EEE" w:rsidP="00FA5E5D">
      <w:pPr>
        <w:pStyle w:val="StyleJustified"/>
        <w:numPr>
          <w:ilvl w:val="0"/>
          <w:numId w:val="4"/>
        </w:numPr>
        <w:tabs>
          <w:tab w:val="clear" w:pos="596"/>
        </w:tabs>
        <w:spacing w:before="360"/>
        <w:ind w:left="539" w:hanging="539"/>
        <w:rPr>
          <w:rFonts w:ascii="Arial" w:hAnsi="Arial" w:cs="Arial"/>
          <w:i/>
          <w:sz w:val="22"/>
          <w:szCs w:val="22"/>
        </w:rPr>
      </w:pPr>
      <w:r w:rsidRPr="002266BC">
        <w:rPr>
          <w:rFonts w:ascii="Arial" w:hAnsi="Arial" w:cs="Arial"/>
          <w:i/>
          <w:sz w:val="22"/>
          <w:szCs w:val="22"/>
          <w:u w:val="single"/>
        </w:rPr>
        <w:t>Attachments</w:t>
      </w:r>
      <w:r w:rsidR="005D0062" w:rsidRPr="002266BC">
        <w:rPr>
          <w:rFonts w:ascii="Arial" w:hAnsi="Arial" w:cs="Arial"/>
          <w:i/>
          <w:sz w:val="22"/>
          <w:szCs w:val="22"/>
        </w:rPr>
        <w:t xml:space="preserve"> </w:t>
      </w:r>
    </w:p>
    <w:p w:rsidR="00A20EEE" w:rsidRPr="00FA5E5D" w:rsidRDefault="00B3313C" w:rsidP="00FA5E5D">
      <w:pPr>
        <w:pStyle w:val="StyleJustified"/>
        <w:numPr>
          <w:ilvl w:val="0"/>
          <w:numId w:val="6"/>
        </w:numPr>
        <w:tabs>
          <w:tab w:val="clear" w:pos="502"/>
          <w:tab w:val="num" w:pos="900"/>
        </w:tabs>
        <w:spacing w:before="120"/>
        <w:ind w:left="896" w:hanging="357"/>
        <w:rPr>
          <w:rFonts w:ascii="Arial" w:hAnsi="Arial" w:cs="Arial"/>
          <w:sz w:val="22"/>
          <w:szCs w:val="22"/>
        </w:rPr>
      </w:pPr>
      <w:hyperlink r:id="rId7" w:history="1">
        <w:r w:rsidR="00FD3FF7" w:rsidRPr="009C3317">
          <w:rPr>
            <w:rStyle w:val="Hyperlink"/>
            <w:rFonts w:ascii="Arial" w:hAnsi="Arial" w:cs="Arial"/>
            <w:sz w:val="22"/>
            <w:szCs w:val="22"/>
          </w:rPr>
          <w:t>Framework for Alcohol and Drug Management in the Workplace</w:t>
        </w:r>
      </w:hyperlink>
      <w:r w:rsidR="001F6EEE" w:rsidRPr="00FD3FF7">
        <w:rPr>
          <w:rFonts w:ascii="Arial" w:hAnsi="Arial" w:cs="Arial"/>
          <w:sz w:val="22"/>
          <w:szCs w:val="22"/>
        </w:rPr>
        <w:t xml:space="preserve"> </w:t>
      </w:r>
    </w:p>
    <w:sectPr w:rsidR="00A20EEE" w:rsidRPr="00FA5E5D" w:rsidSect="00E1286E">
      <w:headerReference w:type="default" r:id="rId8"/>
      <w:pgSz w:w="11906" w:h="16838" w:code="9"/>
      <w:pgMar w:top="1985" w:right="1418" w:bottom="1191" w:left="1418" w:header="851"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993" w:rsidRDefault="00824993">
      <w:r>
        <w:separator/>
      </w:r>
    </w:p>
  </w:endnote>
  <w:endnote w:type="continuationSeparator" w:id="0">
    <w:p w:rsidR="00824993" w:rsidRDefault="00824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993" w:rsidRDefault="00824993">
      <w:r>
        <w:separator/>
      </w:r>
    </w:p>
  </w:footnote>
  <w:footnote w:type="continuationSeparator" w:id="0">
    <w:p w:rsidR="00824993" w:rsidRDefault="008249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6E2" w:rsidRPr="00847F56" w:rsidRDefault="00A54057" w:rsidP="00E1286E">
    <w:pPr>
      <w:pStyle w:val="Header"/>
      <w:ind w:firstLine="2880"/>
      <w:rPr>
        <w:rFonts w:ascii="Arial" w:hAnsi="Arial" w:cs="Arial"/>
        <w:b/>
        <w:sz w:val="22"/>
        <w:szCs w:val="22"/>
        <w:u w:val="single"/>
      </w:rPr>
    </w:pPr>
    <w:r>
      <w:rPr>
        <w:rFonts w:ascii="Arial" w:hAnsi="Arial" w:cs="Arial"/>
        <w:noProof/>
        <w:sz w:val="22"/>
        <w:szCs w:val="22"/>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9576E2" w:rsidRPr="00847F56">
      <w:rPr>
        <w:rFonts w:ascii="Arial" w:hAnsi="Arial" w:cs="Arial"/>
        <w:b/>
        <w:sz w:val="22"/>
        <w:szCs w:val="22"/>
        <w:u w:val="single"/>
      </w:rPr>
      <w:t xml:space="preserve">Cabinet – </w:t>
    </w:r>
    <w:r w:rsidR="009576E2">
      <w:rPr>
        <w:rFonts w:ascii="Arial" w:hAnsi="Arial" w:cs="Arial"/>
        <w:b/>
        <w:sz w:val="22"/>
        <w:szCs w:val="22"/>
        <w:u w:val="single"/>
      </w:rPr>
      <w:t>September</w:t>
    </w:r>
    <w:r w:rsidR="009576E2" w:rsidRPr="00847F56">
      <w:rPr>
        <w:rFonts w:ascii="Arial" w:hAnsi="Arial" w:cs="Arial"/>
        <w:b/>
        <w:sz w:val="22"/>
        <w:szCs w:val="22"/>
        <w:u w:val="single"/>
      </w:rPr>
      <w:t xml:space="preserve"> 20</w:t>
    </w:r>
    <w:r w:rsidR="009576E2">
      <w:rPr>
        <w:rFonts w:ascii="Arial" w:hAnsi="Arial" w:cs="Arial"/>
        <w:b/>
        <w:sz w:val="22"/>
        <w:szCs w:val="22"/>
        <w:u w:val="single"/>
      </w:rPr>
      <w:t>10</w:t>
    </w:r>
  </w:p>
  <w:p w:rsidR="009576E2" w:rsidRPr="00FD3FF7" w:rsidRDefault="009576E2" w:rsidP="00E1286E">
    <w:pPr>
      <w:pStyle w:val="Header"/>
      <w:spacing w:before="120"/>
      <w:rPr>
        <w:rFonts w:ascii="Arial" w:hAnsi="Arial" w:cs="Arial"/>
        <w:b/>
        <w:sz w:val="22"/>
        <w:szCs w:val="22"/>
        <w:u w:val="single"/>
      </w:rPr>
    </w:pPr>
    <w:r w:rsidRPr="00FD3FF7">
      <w:rPr>
        <w:rFonts w:ascii="Arial" w:hAnsi="Arial" w:cs="Arial"/>
        <w:b/>
        <w:sz w:val="22"/>
        <w:szCs w:val="22"/>
        <w:u w:val="single"/>
      </w:rPr>
      <w:t>Framework for Alcohol and Drug Management in the Workplace</w:t>
    </w:r>
  </w:p>
  <w:p w:rsidR="009576E2" w:rsidRDefault="009576E2" w:rsidP="00E1286E">
    <w:pPr>
      <w:pStyle w:val="Header"/>
      <w:spacing w:before="120"/>
      <w:rPr>
        <w:rFonts w:ascii="Arial" w:hAnsi="Arial" w:cs="Arial"/>
        <w:b/>
        <w:sz w:val="22"/>
        <w:szCs w:val="22"/>
        <w:u w:val="single"/>
      </w:rPr>
    </w:pPr>
    <w:r>
      <w:rPr>
        <w:rFonts w:ascii="Arial" w:hAnsi="Arial" w:cs="Arial"/>
        <w:b/>
        <w:sz w:val="22"/>
        <w:szCs w:val="22"/>
        <w:u w:val="single"/>
      </w:rPr>
      <w:t>Attorney-General and Minister for Industrial Relations</w:t>
    </w:r>
  </w:p>
  <w:p w:rsidR="00FA5E5D" w:rsidRPr="00FA5E5D" w:rsidRDefault="00FA5E5D" w:rsidP="00FA5E5D">
    <w:pPr>
      <w:pStyle w:val="Header"/>
      <w:pBdr>
        <w:bottom w:val="single" w:sz="4" w:space="1" w:color="auto"/>
      </w:pBdr>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72E34"/>
    <w:multiLevelType w:val="multilevel"/>
    <w:tmpl w:val="5AFABAE6"/>
    <w:styleLink w:val="cabinet"/>
    <w:lvl w:ilvl="0">
      <w:start w:val="1"/>
      <w:numFmt w:val="decimal"/>
      <w:pStyle w:val="StyleJustified"/>
      <w:lvlText w:val="%1."/>
      <w:lvlJc w:val="left"/>
      <w:pPr>
        <w:tabs>
          <w:tab w:val="num" w:pos="454"/>
        </w:tabs>
        <w:ind w:left="454" w:hanging="454"/>
      </w:pPr>
      <w:rPr>
        <w:rFonts w:hint="default"/>
        <w:spacing w:val="20"/>
        <w:position w:val="0"/>
      </w:rPr>
    </w:lvl>
    <w:lvl w:ilvl="1">
      <w:start w:val="1"/>
      <w:numFmt w:val="lowerLetter"/>
      <w:pStyle w:val="Cabinet2text"/>
      <w:lvlText w:val="(%2)"/>
      <w:lvlJc w:val="left"/>
      <w:pPr>
        <w:tabs>
          <w:tab w:val="num" w:pos="907"/>
        </w:tabs>
        <w:ind w:left="907" w:hanging="453"/>
      </w:pPr>
      <w:rPr>
        <w:rFonts w:hint="default"/>
      </w:rPr>
    </w:lvl>
    <w:lvl w:ilvl="2">
      <w:start w:val="1"/>
      <w:numFmt w:val="lowerRoman"/>
      <w:pStyle w:val="Cabinet3text"/>
      <w:lvlText w:val="(%3)"/>
      <w:lvlJc w:val="left"/>
      <w:pPr>
        <w:tabs>
          <w:tab w:val="num" w:pos="1361"/>
        </w:tabs>
        <w:ind w:left="1361" w:hanging="454"/>
      </w:pPr>
      <w:rPr>
        <w:rFonts w:hint="default"/>
      </w:rPr>
    </w:lvl>
    <w:lvl w:ilvl="3">
      <w:start w:val="1"/>
      <w:numFmt w:val="bullet"/>
      <w:pStyle w:val="Cabinet4text"/>
      <w:lvlText w:val=""/>
      <w:lvlJc w:val="left"/>
      <w:pPr>
        <w:tabs>
          <w:tab w:val="num" w:pos="1814"/>
        </w:tabs>
        <w:ind w:left="1814" w:hanging="453"/>
      </w:pPr>
      <w:rPr>
        <w:rFonts w:ascii="Wingdings" w:hAnsi="Wingdings" w:hint="default"/>
      </w:rPr>
    </w:lvl>
    <w:lvl w:ilvl="4">
      <w:start w:val="1"/>
      <w:numFmt w:val="bullet"/>
      <w:pStyle w:val="cabinet5text"/>
      <w:lvlText w:val="-"/>
      <w:lvlJc w:val="left"/>
      <w:pPr>
        <w:tabs>
          <w:tab w:val="num" w:pos="2268"/>
        </w:tabs>
        <w:ind w:left="2268" w:hanging="454"/>
      </w:pPr>
      <w:rPr>
        <w:rFonts w:ascii="Times New Roman" w:hAnsi="Times New Roman" w:cs="Times New Roman"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4A735C57"/>
    <w:multiLevelType w:val="multilevel"/>
    <w:tmpl w:val="8FA8A17A"/>
    <w:lvl w:ilvl="0">
      <w:start w:val="1"/>
      <w:numFmt w:val="bullet"/>
      <w:lvlText w:val=""/>
      <w:lvlJc w:val="left"/>
      <w:pPr>
        <w:tabs>
          <w:tab w:val="num" w:pos="502"/>
        </w:tabs>
        <w:ind w:left="502" w:hanging="360"/>
      </w:pPr>
      <w:rPr>
        <w:rFonts w:ascii="Symbol" w:hAnsi="Symbol" w:hint="default"/>
        <w:spacing w:val="20"/>
        <w:position w:val="0"/>
      </w:rPr>
    </w:lvl>
    <w:lvl w:ilvl="1">
      <w:start w:val="1"/>
      <w:numFmt w:val="lowerLetter"/>
      <w:lvlText w:val="(%2)"/>
      <w:lvlJc w:val="left"/>
      <w:pPr>
        <w:tabs>
          <w:tab w:val="num" w:pos="907"/>
        </w:tabs>
        <w:ind w:left="907" w:hanging="453"/>
      </w:pPr>
      <w:rPr>
        <w:rFonts w:hint="default"/>
      </w:rPr>
    </w:lvl>
    <w:lvl w:ilvl="2">
      <w:start w:val="1"/>
      <w:numFmt w:val="lowerRoman"/>
      <w:lvlText w:val="(%3)"/>
      <w:lvlJc w:val="left"/>
      <w:pPr>
        <w:tabs>
          <w:tab w:val="num" w:pos="1361"/>
        </w:tabs>
        <w:ind w:left="1361" w:hanging="454"/>
      </w:pPr>
      <w:rPr>
        <w:rFonts w:hint="default"/>
      </w:rPr>
    </w:lvl>
    <w:lvl w:ilvl="3">
      <w:start w:val="1"/>
      <w:numFmt w:val="bullet"/>
      <w:lvlText w:val=""/>
      <w:lvlJc w:val="left"/>
      <w:pPr>
        <w:tabs>
          <w:tab w:val="num" w:pos="1814"/>
        </w:tabs>
        <w:ind w:left="1814" w:hanging="453"/>
      </w:pPr>
      <w:rPr>
        <w:rFonts w:ascii="Wingdings" w:hAnsi="Wingdings" w:hint="default"/>
      </w:rPr>
    </w:lvl>
    <w:lvl w:ilvl="4">
      <w:start w:val="1"/>
      <w:numFmt w:val="bullet"/>
      <w:lvlText w:val="-"/>
      <w:lvlJc w:val="left"/>
      <w:pPr>
        <w:tabs>
          <w:tab w:val="num" w:pos="2268"/>
        </w:tabs>
        <w:ind w:left="2268" w:hanging="454"/>
      </w:pPr>
      <w:rPr>
        <w:rFonts w:ascii="Times New Roman" w:hAnsi="Times New Roman" w:cs="Times New Roman"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4E025DCF"/>
    <w:multiLevelType w:val="hybridMultilevel"/>
    <w:tmpl w:val="343ADE90"/>
    <w:lvl w:ilvl="0" w:tplc="F4923358">
      <w:numFmt w:val="bullet"/>
      <w:lvlText w:val=""/>
      <w:lvlJc w:val="left"/>
      <w:pPr>
        <w:tabs>
          <w:tab w:val="num" w:pos="720"/>
        </w:tabs>
        <w:ind w:left="720" w:hanging="720"/>
      </w:pPr>
      <w:rPr>
        <w:rFonts w:ascii="Symbol" w:eastAsia="Times New Roman" w:hAnsi="Symbol" w:cs="Times New Roman"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77985910"/>
    <w:multiLevelType w:val="multilevel"/>
    <w:tmpl w:val="5AFABAE6"/>
    <w:numStyleLink w:val="cabinet"/>
  </w:abstractNum>
  <w:abstractNum w:abstractNumId="5"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2"/>
  </w:num>
  <w:num w:numId="4">
    <w:abstractNumId w:val="4"/>
    <w:lvlOverride w:ilvl="0">
      <w:lvl w:ilvl="0">
        <w:start w:val="1"/>
        <w:numFmt w:val="decimal"/>
        <w:lvlText w:val="%1."/>
        <w:lvlJc w:val="left"/>
        <w:pPr>
          <w:tabs>
            <w:tab w:val="num" w:pos="596"/>
          </w:tabs>
          <w:ind w:left="596" w:hanging="454"/>
        </w:pPr>
        <w:rPr>
          <w:rFonts w:hint="default"/>
          <w:b w:val="0"/>
          <w:i w:val="0"/>
          <w:spacing w:val="20"/>
          <w:position w:val="0"/>
        </w:rPr>
      </w:lvl>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EEE"/>
    <w:rsid w:val="00017407"/>
    <w:rsid w:val="000361C1"/>
    <w:rsid w:val="00052993"/>
    <w:rsid w:val="00071FEB"/>
    <w:rsid w:val="000A7F93"/>
    <w:rsid w:val="00195AFA"/>
    <w:rsid w:val="0019735F"/>
    <w:rsid w:val="001A154B"/>
    <w:rsid w:val="001F6EEE"/>
    <w:rsid w:val="002266BC"/>
    <w:rsid w:val="002414F0"/>
    <w:rsid w:val="00281C19"/>
    <w:rsid w:val="00284F72"/>
    <w:rsid w:val="00290588"/>
    <w:rsid w:val="002C712E"/>
    <w:rsid w:val="00397811"/>
    <w:rsid w:val="003A1D0E"/>
    <w:rsid w:val="004B0B3D"/>
    <w:rsid w:val="004F17D4"/>
    <w:rsid w:val="00525426"/>
    <w:rsid w:val="00544A10"/>
    <w:rsid w:val="005C473D"/>
    <w:rsid w:val="005D0062"/>
    <w:rsid w:val="006405CD"/>
    <w:rsid w:val="006D77B0"/>
    <w:rsid w:val="007149CB"/>
    <w:rsid w:val="00734FAE"/>
    <w:rsid w:val="00764BE7"/>
    <w:rsid w:val="008073DA"/>
    <w:rsid w:val="00824993"/>
    <w:rsid w:val="00847F56"/>
    <w:rsid w:val="008C4542"/>
    <w:rsid w:val="0090421D"/>
    <w:rsid w:val="00937C58"/>
    <w:rsid w:val="009576E2"/>
    <w:rsid w:val="009C3317"/>
    <w:rsid w:val="00A20EEE"/>
    <w:rsid w:val="00A5209D"/>
    <w:rsid w:val="00A54057"/>
    <w:rsid w:val="00A97431"/>
    <w:rsid w:val="00AE7A36"/>
    <w:rsid w:val="00B10E14"/>
    <w:rsid w:val="00B3313C"/>
    <w:rsid w:val="00B6314F"/>
    <w:rsid w:val="00BB3128"/>
    <w:rsid w:val="00BC0278"/>
    <w:rsid w:val="00C51F67"/>
    <w:rsid w:val="00D21052"/>
    <w:rsid w:val="00D9550A"/>
    <w:rsid w:val="00DA5D3C"/>
    <w:rsid w:val="00DC4482"/>
    <w:rsid w:val="00E04A52"/>
    <w:rsid w:val="00E1286E"/>
    <w:rsid w:val="00E12F8A"/>
    <w:rsid w:val="00E16A9A"/>
    <w:rsid w:val="00E332C6"/>
    <w:rsid w:val="00F0107D"/>
    <w:rsid w:val="00F21746"/>
    <w:rsid w:val="00F56A80"/>
    <w:rsid w:val="00FA5E5D"/>
    <w:rsid w:val="00FC6CE2"/>
    <w:rsid w:val="00FD3F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EEE"/>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F6EEE"/>
    <w:pPr>
      <w:tabs>
        <w:tab w:val="center" w:pos="4153"/>
        <w:tab w:val="right" w:pos="8306"/>
      </w:tabs>
    </w:pPr>
    <w:rPr>
      <w:color w:val="auto"/>
    </w:rPr>
  </w:style>
  <w:style w:type="paragraph" w:styleId="Footer">
    <w:name w:val="footer"/>
    <w:basedOn w:val="Normal"/>
    <w:rsid w:val="001F6EEE"/>
    <w:pPr>
      <w:tabs>
        <w:tab w:val="center" w:pos="4153"/>
        <w:tab w:val="right" w:pos="8306"/>
      </w:tabs>
    </w:pPr>
  </w:style>
  <w:style w:type="paragraph" w:customStyle="1" w:styleId="DefaultParagraphFontParaCharCharCharCharChar">
    <w:name w:val="Default Paragraph Font Para Char Char Char Char Char"/>
    <w:basedOn w:val="Normal"/>
    <w:rsid w:val="001F6EEE"/>
    <w:rPr>
      <w:rFonts w:ascii="Arial" w:hAnsi="Arial" w:cs="Arial"/>
      <w:color w:val="auto"/>
      <w:sz w:val="22"/>
      <w:szCs w:val="22"/>
      <w:lang w:eastAsia="en-US"/>
    </w:rPr>
  </w:style>
  <w:style w:type="numbering" w:customStyle="1" w:styleId="cabinet">
    <w:name w:val="cabinet"/>
    <w:rsid w:val="00E04A52"/>
    <w:pPr>
      <w:numPr>
        <w:numId w:val="5"/>
      </w:numPr>
    </w:pPr>
  </w:style>
  <w:style w:type="paragraph" w:customStyle="1" w:styleId="Cabinet2text">
    <w:name w:val="Cabinet 2 text"/>
    <w:basedOn w:val="Normal"/>
    <w:rsid w:val="00E04A52"/>
    <w:pPr>
      <w:numPr>
        <w:ilvl w:val="1"/>
        <w:numId w:val="5"/>
      </w:numPr>
      <w:spacing w:before="120"/>
      <w:jc w:val="both"/>
    </w:pPr>
    <w:rPr>
      <w:color w:val="auto"/>
    </w:rPr>
  </w:style>
  <w:style w:type="paragraph" w:customStyle="1" w:styleId="Cabinet3text">
    <w:name w:val="Cabinet 3 text"/>
    <w:basedOn w:val="Cabinet2text"/>
    <w:rsid w:val="00E04A52"/>
    <w:pPr>
      <w:numPr>
        <w:ilvl w:val="2"/>
      </w:numPr>
    </w:pPr>
  </w:style>
  <w:style w:type="paragraph" w:customStyle="1" w:styleId="Cabinet4text">
    <w:name w:val="Cabinet 4 text"/>
    <w:basedOn w:val="Cabinet2text"/>
    <w:rsid w:val="00E04A52"/>
    <w:pPr>
      <w:numPr>
        <w:ilvl w:val="3"/>
      </w:numPr>
    </w:pPr>
  </w:style>
  <w:style w:type="paragraph" w:customStyle="1" w:styleId="cabinet5text">
    <w:name w:val="cabinet 5 text"/>
    <w:basedOn w:val="Cabinet2text"/>
    <w:rsid w:val="00E04A52"/>
    <w:pPr>
      <w:numPr>
        <w:ilvl w:val="4"/>
      </w:numPr>
    </w:pPr>
  </w:style>
  <w:style w:type="paragraph" w:customStyle="1" w:styleId="StyleJustified">
    <w:name w:val="Style Justified"/>
    <w:basedOn w:val="Normal"/>
    <w:rsid w:val="00E04A52"/>
    <w:pPr>
      <w:numPr>
        <w:numId w:val="5"/>
      </w:numPr>
      <w:tabs>
        <w:tab w:val="clear" w:pos="454"/>
        <w:tab w:val="num" w:pos="596"/>
      </w:tabs>
      <w:spacing w:before="240"/>
      <w:ind w:left="596"/>
      <w:jc w:val="both"/>
    </w:pPr>
    <w:rPr>
      <w:color w:val="auto"/>
    </w:rPr>
  </w:style>
  <w:style w:type="paragraph" w:customStyle="1" w:styleId="CharChar1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w:basedOn w:val="Normal"/>
    <w:rsid w:val="00E04A52"/>
    <w:pPr>
      <w:spacing w:after="160" w:line="240" w:lineRule="exact"/>
    </w:pPr>
    <w:rPr>
      <w:rFonts w:ascii="Verdana" w:hAnsi="Verdana"/>
      <w:color w:val="auto"/>
      <w:sz w:val="20"/>
      <w:lang w:val="en-US" w:eastAsia="en-US"/>
    </w:rPr>
  </w:style>
  <w:style w:type="paragraph" w:styleId="BalloonText">
    <w:name w:val="Balloon Text"/>
    <w:basedOn w:val="Normal"/>
    <w:semiHidden/>
    <w:rsid w:val="00290588"/>
    <w:rPr>
      <w:rFonts w:ascii="Tahoma" w:hAnsi="Tahoma" w:cs="Tahoma"/>
      <w:sz w:val="16"/>
      <w:szCs w:val="16"/>
    </w:rPr>
  </w:style>
  <w:style w:type="character" w:styleId="Hyperlink">
    <w:name w:val="Hyperlink"/>
    <w:basedOn w:val="DefaultParagraphFont"/>
    <w:rsid w:val="008C45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35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ttachments/Framework%20for%20Alcohol%20and%20Drug%20Mg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1447</Characters>
  <Application>Microsoft Office Word</Application>
  <DocSecurity>0</DocSecurity>
  <Lines>24</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1719</CharactersWithSpaces>
  <SharedDoc>false</SharedDoc>
  <HyperlinkBase>https://www.cabinet.qld.gov.au/documents/2010/Sep/Alcohol and Drug Management/</HyperlinkBase>
  <HLinks>
    <vt:vector size="6" baseType="variant">
      <vt:variant>
        <vt:i4>7340089</vt:i4>
      </vt:variant>
      <vt:variant>
        <vt:i4>0</vt:i4>
      </vt:variant>
      <vt:variant>
        <vt:i4>0</vt:i4>
      </vt:variant>
      <vt:variant>
        <vt:i4>5</vt:i4>
      </vt:variant>
      <vt:variant>
        <vt:lpwstr>\\premiers\dpc\CABSECCOM\2011\Cabinet Secretariat\Proactive Release of Cabinet Information\Proactive Release Summaries\2010\Word doc\Sep\Alcohol and Drug Management\Attachments\Framework for Alcohol and Drug Mgt.pdf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2011-10-04T07:09:00Z</cp:lastPrinted>
  <dcterms:created xsi:type="dcterms:W3CDTF">2017-10-24T22:22:00Z</dcterms:created>
  <dcterms:modified xsi:type="dcterms:W3CDTF">2018-03-06T01:06:00Z</dcterms:modified>
  <cp:category>Workplace_Health_and_Safety,Alcohol,Industrial_Relations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1875672112</vt:i4>
  </property>
  <property fmtid="{D5CDD505-2E9C-101B-9397-08002B2CF9AE}" pid="3" name="_NewReviewCycle">
    <vt:lpwstr/>
  </property>
  <property fmtid="{D5CDD505-2E9C-101B-9397-08002B2CF9AE}" pid="4" name="_PreviousAdHocReviewCycleID">
    <vt:i4>-1342315712</vt:i4>
  </property>
  <property fmtid="{D5CDD505-2E9C-101B-9397-08002B2CF9AE}" pid="5" name="_ReviewingToolsShownOnce">
    <vt:lpwstr/>
  </property>
</Properties>
</file>